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EF" w:rsidRPr="00E0608B" w:rsidRDefault="006665EF" w:rsidP="006665EF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The view </w:t>
      </w:r>
      <w:r w:rsidRPr="00E0608B">
        <w:rPr>
          <w:rFonts w:cs="Arial"/>
          <w:b/>
          <w:sz w:val="24"/>
        </w:rPr>
        <w:t>from Gran Paradiso</w:t>
      </w:r>
    </w:p>
    <w:p w:rsidR="006665EF" w:rsidRDefault="006665EF" w:rsidP="006665EF">
      <w:pPr>
        <w:spacing w:after="0" w:line="240" w:lineRule="auto"/>
        <w:ind w:right="-120"/>
      </w:pPr>
    </w:p>
    <w:p w:rsidR="006665EF" w:rsidRDefault="006665EF" w:rsidP="006665EF">
      <w:pPr>
        <w:spacing w:after="0" w:line="240" w:lineRule="auto"/>
        <w:ind w:right="-120"/>
      </w:pPr>
      <w:r>
        <w:t>More than 80 participants from 35 countries met in the Gran Paradiso National Park, at Cogne in Italy from 24-28 June 2019 under the auspices of the BIOPAMA Programme, supported by the European Development Fund through the Africa, Caribbean and Pacific Group of States.  The European Commission’s DG-DEVCO, IUCN, and the Joint Research Centre of the European Commission, convened the meeting as an opportunity to share and exchange lessons for the implementation of the BIOPAMA programme</w:t>
      </w:r>
      <w:r>
        <w:t xml:space="preserve"> – a programme that aims to strengthen protected and conserved areas in 79 countries and ensure that they contribute towards sustainable development.</w:t>
      </w:r>
      <w:r>
        <w:t xml:space="preserve"> </w:t>
      </w:r>
      <w:r w:rsidRPr="004F4A1B">
        <w:t xml:space="preserve"> </w:t>
      </w:r>
      <w:proofErr w:type="gramStart"/>
      <w:r>
        <w:t>We were hosted graciously by the Fondation Gran</w:t>
      </w:r>
      <w:r w:rsidR="00247331">
        <w:t>d</w:t>
      </w:r>
      <w:r>
        <w:t xml:space="preserve"> Paradis, and the Gran Paradiso National Park</w:t>
      </w:r>
      <w:proofErr w:type="gramEnd"/>
      <w:r>
        <w:t>.</w:t>
      </w:r>
    </w:p>
    <w:p w:rsidR="006665EF" w:rsidRDefault="006665EF" w:rsidP="006665EF">
      <w:pPr>
        <w:spacing w:after="0" w:line="240" w:lineRule="auto"/>
        <w:ind w:right="-120"/>
      </w:pPr>
    </w:p>
    <w:p w:rsidR="006665EF" w:rsidRDefault="006665EF" w:rsidP="006665EF">
      <w:pPr>
        <w:spacing w:after="0" w:line="240" w:lineRule="auto"/>
        <w:ind w:right="-120"/>
      </w:pPr>
      <w:r>
        <w:t xml:space="preserve">Participants were conscious that the world is at a crossroads as we approach 2020.  Biodiversity </w:t>
      </w:r>
      <w:proofErr w:type="gramStart"/>
      <w:r>
        <w:t>has never been more threat</w:t>
      </w:r>
      <w:r w:rsidR="00247331">
        <w:t>ened</w:t>
      </w:r>
      <w:proofErr w:type="gramEnd"/>
      <w:r w:rsidR="00247331">
        <w:t xml:space="preserve">, while </w:t>
      </w:r>
      <w:r>
        <w:t xml:space="preserve">systems of effective protected and conserved areas </w:t>
      </w:r>
      <w:r w:rsidR="009B7596">
        <w:t>provide hope and inspiration f</w:t>
      </w:r>
      <w:r>
        <w:t>or the conservation of biodiversity and ecosystem services and</w:t>
      </w:r>
      <w:r w:rsidR="009B7596">
        <w:t xml:space="preserve"> as a</w:t>
      </w:r>
      <w:r>
        <w:t xml:space="preserve"> foundation for sustainable economies and livelihoods. </w:t>
      </w:r>
      <w:r>
        <w:t>A suite of keynote presentations started the process of deliberating progress, challenges</w:t>
      </w:r>
      <w:r>
        <w:t>,</w:t>
      </w:r>
      <w:r>
        <w:t xml:space="preserve"> opportunities and direction across five streams of interest, with the ultimate aim of bringing these streams </w:t>
      </w:r>
      <w:r w:rsidR="00FC1A08">
        <w:t>together in a clear way forward that will ensure that protected and conserved areas can play their role.</w:t>
      </w:r>
    </w:p>
    <w:p w:rsidR="006665EF" w:rsidRDefault="006665EF" w:rsidP="006665EF">
      <w:pPr>
        <w:spacing w:after="0" w:line="240" w:lineRule="auto"/>
        <w:ind w:right="-120"/>
      </w:pPr>
    </w:p>
    <w:p w:rsidR="006665EF" w:rsidRDefault="006665EF" w:rsidP="006665EF">
      <w:pPr>
        <w:spacing w:after="0" w:line="240" w:lineRule="auto"/>
        <w:ind w:right="-120"/>
      </w:pPr>
      <w:r>
        <w:t xml:space="preserve">Key messages from </w:t>
      </w:r>
      <w:r w:rsidR="003125B4">
        <w:t xml:space="preserve">the five intersecting streams </w:t>
      </w:r>
      <w:r>
        <w:t>were:</w:t>
      </w:r>
    </w:p>
    <w:p w:rsidR="006665EF" w:rsidRDefault="006665EF" w:rsidP="006665EF">
      <w:pPr>
        <w:spacing w:after="0" w:line="240" w:lineRule="auto"/>
        <w:ind w:right="-120"/>
      </w:pPr>
    </w:p>
    <w:p w:rsidR="006665EF" w:rsidRPr="003125B4" w:rsidRDefault="006665EF" w:rsidP="003125B4">
      <w:pPr>
        <w:pStyle w:val="ListParagraph"/>
        <w:numPr>
          <w:ilvl w:val="0"/>
          <w:numId w:val="5"/>
        </w:numPr>
        <w:spacing w:after="0" w:line="240" w:lineRule="auto"/>
        <w:ind w:right="-120" w:hanging="720"/>
        <w:rPr>
          <w:b/>
        </w:rPr>
      </w:pPr>
      <w:r w:rsidRPr="003125B4">
        <w:rPr>
          <w:b/>
        </w:rPr>
        <w:t>Management Effectiveness Assessment</w:t>
      </w:r>
      <w:r w:rsidR="00FC1A08" w:rsidRPr="003125B4">
        <w:rPr>
          <w:b/>
        </w:rPr>
        <w:t xml:space="preserve"> (PAME)</w:t>
      </w:r>
    </w:p>
    <w:p w:rsidR="006665EF" w:rsidRDefault="006665EF" w:rsidP="006665EF">
      <w:pPr>
        <w:spacing w:after="0" w:line="240" w:lineRule="auto"/>
        <w:ind w:right="-120"/>
      </w:pPr>
    </w:p>
    <w:p w:rsidR="006665EF" w:rsidRDefault="006665EF" w:rsidP="006665EF">
      <w:pPr>
        <w:spacing w:after="0" w:line="240" w:lineRule="auto"/>
        <w:ind w:right="-120"/>
      </w:pPr>
      <w:r>
        <w:t>The systematic assessment of protected and conser</w:t>
      </w:r>
      <w:r w:rsidR="00FC1A08">
        <w:t xml:space="preserve">ved areas is a powerful tool to ensure that their management </w:t>
      </w:r>
      <w:proofErr w:type="gramStart"/>
      <w:r w:rsidR="00FC1A08">
        <w:t>is enhanced</w:t>
      </w:r>
      <w:proofErr w:type="gramEnd"/>
      <w:r w:rsidR="00FC1A08">
        <w:t xml:space="preserve"> and outcomes for biodiversity and society are achieved. It </w:t>
      </w:r>
      <w:proofErr w:type="gramStart"/>
      <w:r w:rsidR="00FC1A08">
        <w:t>was therefore recommended</w:t>
      </w:r>
      <w:proofErr w:type="gramEnd"/>
      <w:r w:rsidR="00FC1A08">
        <w:t xml:space="preserve"> that:</w:t>
      </w:r>
    </w:p>
    <w:p w:rsidR="00FC1A08" w:rsidRDefault="00FC1A08" w:rsidP="006665EF">
      <w:pPr>
        <w:spacing w:after="0" w:line="240" w:lineRule="auto"/>
        <w:ind w:right="-120"/>
      </w:pPr>
    </w:p>
    <w:p w:rsidR="00FC1A08" w:rsidRDefault="00FC1A08" w:rsidP="00FC1A08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>Universal application of management effectiveness assessment to cover all relevant components,</w:t>
      </w:r>
      <w:r w:rsidR="007B08E9">
        <w:t xml:space="preserve"> including outcomes is required.</w:t>
      </w:r>
    </w:p>
    <w:p w:rsidR="00FC1A08" w:rsidRDefault="00FC1A08" w:rsidP="00FC1A08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 xml:space="preserve">PAME </w:t>
      </w:r>
      <w:proofErr w:type="gramStart"/>
      <w:r>
        <w:t>should be regarded</w:t>
      </w:r>
      <w:proofErr w:type="gramEnd"/>
      <w:r>
        <w:t xml:space="preserve"> as a diagnostic approach to identify how management can be enhanced toward</w:t>
      </w:r>
      <w:r w:rsidR="007B08E9">
        <w:t>s achieving outcomes; it should encourage managers and not place them under scrutiny.</w:t>
      </w:r>
    </w:p>
    <w:p w:rsidR="007B08E9" w:rsidRDefault="007B08E9" w:rsidP="00FC1A08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 xml:space="preserve">The process is as important as the findings, and so it </w:t>
      </w:r>
      <w:proofErr w:type="gramStart"/>
      <w:r>
        <w:t>should be embedded</w:t>
      </w:r>
      <w:proofErr w:type="gramEnd"/>
      <w:r>
        <w:t xml:space="preserve"> in the management institutions involved.</w:t>
      </w:r>
    </w:p>
    <w:p w:rsidR="007B08E9" w:rsidRDefault="007B08E9" w:rsidP="00FC1A08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 xml:space="preserve">It should involve all relevant stakeholders and knowledge; data, knowledge and understanding </w:t>
      </w:r>
      <w:proofErr w:type="gramStart"/>
      <w:r>
        <w:t>should be shared</w:t>
      </w:r>
      <w:proofErr w:type="gramEnd"/>
      <w:r>
        <w:t xml:space="preserve"> appropriately.</w:t>
      </w:r>
    </w:p>
    <w:p w:rsidR="00C61AA1" w:rsidRDefault="00C61AA1" w:rsidP="00C61AA1">
      <w:pPr>
        <w:spacing w:after="0" w:line="240" w:lineRule="auto"/>
        <w:ind w:right="-120"/>
      </w:pPr>
    </w:p>
    <w:p w:rsidR="00C61AA1" w:rsidRPr="003125B4" w:rsidRDefault="00C61AA1" w:rsidP="003125B4">
      <w:pPr>
        <w:pStyle w:val="ListParagraph"/>
        <w:numPr>
          <w:ilvl w:val="0"/>
          <w:numId w:val="5"/>
        </w:numPr>
        <w:spacing w:after="0" w:line="240" w:lineRule="auto"/>
        <w:ind w:right="-120" w:hanging="720"/>
        <w:rPr>
          <w:b/>
        </w:rPr>
      </w:pPr>
      <w:r w:rsidRPr="003125B4">
        <w:rPr>
          <w:b/>
        </w:rPr>
        <w:t>Governance and Equity Assessment (PAGE)</w:t>
      </w:r>
    </w:p>
    <w:p w:rsidR="00C61AA1" w:rsidRDefault="00C61AA1" w:rsidP="00C61AA1">
      <w:pPr>
        <w:spacing w:after="0" w:line="240" w:lineRule="auto"/>
        <w:ind w:right="-120"/>
        <w:rPr>
          <w:b/>
        </w:rPr>
      </w:pPr>
    </w:p>
    <w:p w:rsidR="00636161" w:rsidRDefault="00636161" w:rsidP="00636161">
      <w:pPr>
        <w:spacing w:after="0" w:line="240" w:lineRule="auto"/>
        <w:ind w:right="-120"/>
        <w:rPr>
          <w:bCs/>
        </w:rPr>
      </w:pPr>
      <w:r w:rsidRPr="00636161">
        <w:rPr>
          <w:bCs/>
        </w:rPr>
        <w:t xml:space="preserve">Good governance and achieving equity are determinants of conservation success, whether at the system or site scale. Participatory governance assessment can identify how the legitimate interests of rights-holders and stakeholders </w:t>
      </w:r>
      <w:proofErr w:type="gramStart"/>
      <w:r w:rsidRPr="00636161">
        <w:rPr>
          <w:bCs/>
        </w:rPr>
        <w:t>can be enhanced</w:t>
      </w:r>
      <w:proofErr w:type="gramEnd"/>
      <w:r w:rsidRPr="00636161">
        <w:rPr>
          <w:bCs/>
        </w:rPr>
        <w:t xml:space="preserve">.  Poor governance </w:t>
      </w:r>
      <w:proofErr w:type="gramStart"/>
      <w:r w:rsidRPr="00636161">
        <w:rPr>
          <w:bCs/>
        </w:rPr>
        <w:t>must be addressed</w:t>
      </w:r>
      <w:proofErr w:type="gramEnd"/>
      <w:r w:rsidRPr="00636161">
        <w:rPr>
          <w:bCs/>
        </w:rPr>
        <w:t xml:space="preserve">. It </w:t>
      </w:r>
      <w:proofErr w:type="gramStart"/>
      <w:r w:rsidRPr="00636161">
        <w:rPr>
          <w:bCs/>
        </w:rPr>
        <w:t>was therefore recommended</w:t>
      </w:r>
      <w:proofErr w:type="gramEnd"/>
      <w:r w:rsidRPr="00636161">
        <w:rPr>
          <w:bCs/>
        </w:rPr>
        <w:t xml:space="preserve"> that:</w:t>
      </w:r>
    </w:p>
    <w:p w:rsidR="00636161" w:rsidRPr="00636161" w:rsidRDefault="00636161" w:rsidP="00636161">
      <w:pPr>
        <w:spacing w:after="0" w:line="240" w:lineRule="auto"/>
        <w:ind w:right="-120"/>
      </w:pPr>
    </w:p>
    <w:p w:rsidR="00000000" w:rsidRPr="00636161" w:rsidRDefault="00760C48" w:rsidP="00636161">
      <w:pPr>
        <w:numPr>
          <w:ilvl w:val="0"/>
          <w:numId w:val="6"/>
        </w:numPr>
        <w:spacing w:after="0" w:line="240" w:lineRule="auto"/>
        <w:ind w:right="-120"/>
      </w:pPr>
      <w:r w:rsidRPr="00636161">
        <w:t xml:space="preserve">Governance and </w:t>
      </w:r>
      <w:r w:rsidRPr="00636161">
        <w:t>equity assessment should be incorporated into all protected and conserved area effectiveness assessments , as an entry point for wider conversations, and processes, e.g. Green List, and global database is needed (UNEP-WCMC/RIS)</w:t>
      </w:r>
    </w:p>
    <w:p w:rsidR="00000000" w:rsidRPr="00636161" w:rsidRDefault="00760C48" w:rsidP="00636161">
      <w:pPr>
        <w:numPr>
          <w:ilvl w:val="0"/>
          <w:numId w:val="6"/>
        </w:numPr>
        <w:spacing w:after="0" w:line="240" w:lineRule="auto"/>
        <w:ind w:right="-120"/>
      </w:pPr>
      <w:r w:rsidRPr="00636161">
        <w:t>A multi-agency, diverse stakeholder process will allow integration into wider governance processes and embrace diversity.</w:t>
      </w:r>
    </w:p>
    <w:p w:rsidR="00000000" w:rsidRPr="00636161" w:rsidRDefault="00760C48" w:rsidP="00636161">
      <w:pPr>
        <w:numPr>
          <w:ilvl w:val="0"/>
          <w:numId w:val="6"/>
        </w:numPr>
        <w:spacing w:after="0" w:line="240" w:lineRule="auto"/>
        <w:ind w:right="-120"/>
      </w:pPr>
      <w:r w:rsidRPr="00636161">
        <w:t xml:space="preserve">Specific efforts </w:t>
      </w:r>
      <w:proofErr w:type="gramStart"/>
      <w:r w:rsidRPr="00636161">
        <w:t>should be made</w:t>
      </w:r>
      <w:proofErr w:type="gramEnd"/>
      <w:r w:rsidRPr="00636161">
        <w:t xml:space="preserve"> to develop capacity and competence through learning programmes, for undertaking and responding to governance and equity assessment.</w:t>
      </w:r>
    </w:p>
    <w:p w:rsidR="00000000" w:rsidRPr="00636161" w:rsidRDefault="00760C48" w:rsidP="00636161">
      <w:pPr>
        <w:numPr>
          <w:ilvl w:val="0"/>
          <w:numId w:val="6"/>
        </w:numPr>
        <w:spacing w:after="0" w:line="240" w:lineRule="auto"/>
        <w:ind w:right="-120"/>
      </w:pPr>
      <w:r w:rsidRPr="00636161">
        <w:lastRenderedPageBreak/>
        <w:t>Case studies be collated for learning and understanding the role and power of good governance, and develop “state of the art”</w:t>
      </w:r>
    </w:p>
    <w:p w:rsidR="00636161" w:rsidRDefault="00636161" w:rsidP="00C61AA1">
      <w:pPr>
        <w:spacing w:after="0" w:line="240" w:lineRule="auto"/>
        <w:ind w:right="-120"/>
        <w:rPr>
          <w:b/>
        </w:rPr>
      </w:pPr>
    </w:p>
    <w:p w:rsidR="00AB4A4C" w:rsidRPr="003125B4" w:rsidRDefault="00AB4A4C" w:rsidP="003125B4">
      <w:pPr>
        <w:pStyle w:val="ListParagraph"/>
        <w:numPr>
          <w:ilvl w:val="0"/>
          <w:numId w:val="5"/>
        </w:numPr>
        <w:spacing w:after="0" w:line="240" w:lineRule="auto"/>
        <w:ind w:right="-120" w:hanging="720"/>
        <w:rPr>
          <w:b/>
        </w:rPr>
      </w:pPr>
      <w:r w:rsidRPr="003125B4">
        <w:rPr>
          <w:b/>
        </w:rPr>
        <w:t>Monitoring biodiversity</w:t>
      </w:r>
    </w:p>
    <w:p w:rsidR="007A1A86" w:rsidRDefault="007A1A86" w:rsidP="00AB4A4C">
      <w:pPr>
        <w:spacing w:after="0" w:line="240" w:lineRule="auto"/>
        <w:ind w:right="-120"/>
      </w:pPr>
    </w:p>
    <w:p w:rsidR="007A1A86" w:rsidRDefault="007A1A86" w:rsidP="00AB4A4C">
      <w:pPr>
        <w:spacing w:after="0" w:line="240" w:lineRule="auto"/>
        <w:ind w:right="-120"/>
      </w:pPr>
      <w:r>
        <w:t>Understanding how biodiversit</w:t>
      </w:r>
      <w:r w:rsidR="009E5217">
        <w:t xml:space="preserve">y outcomes </w:t>
      </w:r>
      <w:proofErr w:type="gramStart"/>
      <w:r w:rsidR="009E5217">
        <w:t>are being achieved</w:t>
      </w:r>
      <w:proofErr w:type="gramEnd"/>
      <w:r w:rsidR="009E5217">
        <w:t xml:space="preserve"> is</w:t>
      </w:r>
      <w:r>
        <w:t xml:space="preserve"> fundamental to effective governance and management programmes, and monitoring of biodiversity needs to be properly resourced, standardized and applied consistently. It </w:t>
      </w:r>
      <w:proofErr w:type="gramStart"/>
      <w:r>
        <w:t>is therefore recommended</w:t>
      </w:r>
      <w:proofErr w:type="gramEnd"/>
      <w:r>
        <w:t xml:space="preserve"> that:</w:t>
      </w:r>
    </w:p>
    <w:p w:rsidR="007A1A86" w:rsidRDefault="007A1A86" w:rsidP="00AB4A4C">
      <w:pPr>
        <w:spacing w:after="0" w:line="240" w:lineRule="auto"/>
        <w:ind w:right="-120"/>
      </w:pPr>
    </w:p>
    <w:p w:rsidR="007A1A86" w:rsidRDefault="007A1A86" w:rsidP="007A1A8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 xml:space="preserve">A monitoring system needs to </w:t>
      </w:r>
      <w:proofErr w:type="gramStart"/>
      <w:r>
        <w:t>be defined</w:t>
      </w:r>
      <w:proofErr w:type="gramEnd"/>
      <w:r>
        <w:t>, including identifying the relevant questions related to the desired objectives and outcomes</w:t>
      </w:r>
      <w:r w:rsidR="000D7068">
        <w:t>, and the decisions to achieve them</w:t>
      </w:r>
      <w:r>
        <w:t>.</w:t>
      </w:r>
    </w:p>
    <w:p w:rsidR="007A1A86" w:rsidRDefault="007A1A86" w:rsidP="007A1A8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 xml:space="preserve">The monitoring system </w:t>
      </w:r>
      <w:proofErr w:type="gramStart"/>
      <w:r>
        <w:t>should be integrated across scales of species, ecosystems and landscapes, and focused o</w:t>
      </w:r>
      <w:r w:rsidR="00D34946">
        <w:t>n</w:t>
      </w:r>
      <w:r>
        <w:t xml:space="preserve"> specific outcomes</w:t>
      </w:r>
      <w:proofErr w:type="gramEnd"/>
      <w:r>
        <w:t>.</w:t>
      </w:r>
    </w:p>
    <w:p w:rsidR="009E5217" w:rsidRDefault="009E5217" w:rsidP="007A1A8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 xml:space="preserve">Project level monitoring </w:t>
      </w:r>
      <w:proofErr w:type="gramStart"/>
      <w:r>
        <w:t>should be institutionalized</w:t>
      </w:r>
      <w:proofErr w:type="gramEnd"/>
      <w:r>
        <w:t xml:space="preserve"> into the ongoing roles of the relevant authorities.</w:t>
      </w:r>
    </w:p>
    <w:p w:rsidR="009E5217" w:rsidRDefault="009E5217" w:rsidP="007A1A8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>A range of actors, including staff, citizens, and agencies should be involved and that results should be shared and communicated.</w:t>
      </w:r>
    </w:p>
    <w:p w:rsidR="00F30321" w:rsidRDefault="00F30321" w:rsidP="00F30321">
      <w:pPr>
        <w:spacing w:after="0" w:line="240" w:lineRule="auto"/>
        <w:ind w:right="-120"/>
      </w:pPr>
    </w:p>
    <w:p w:rsidR="00F30321" w:rsidRPr="003125B4" w:rsidRDefault="00F30321" w:rsidP="003125B4">
      <w:pPr>
        <w:pStyle w:val="ListParagraph"/>
        <w:numPr>
          <w:ilvl w:val="0"/>
          <w:numId w:val="5"/>
        </w:numPr>
        <w:spacing w:after="0" w:line="240" w:lineRule="auto"/>
        <w:ind w:right="-120" w:hanging="720"/>
        <w:rPr>
          <w:b/>
        </w:rPr>
      </w:pPr>
      <w:r w:rsidRPr="003125B4">
        <w:rPr>
          <w:b/>
        </w:rPr>
        <w:t>Integrated Management Effectiv</w:t>
      </w:r>
      <w:r w:rsidR="003125B4" w:rsidRPr="003125B4">
        <w:rPr>
          <w:b/>
        </w:rPr>
        <w:t>e</w:t>
      </w:r>
      <w:r w:rsidRPr="003125B4">
        <w:rPr>
          <w:b/>
        </w:rPr>
        <w:t>ness Tool (IMET)</w:t>
      </w:r>
    </w:p>
    <w:p w:rsidR="00F30321" w:rsidRDefault="00F30321" w:rsidP="00F30321">
      <w:pPr>
        <w:spacing w:after="0" w:line="240" w:lineRule="auto"/>
        <w:ind w:right="-120"/>
      </w:pPr>
    </w:p>
    <w:p w:rsidR="00F16C01" w:rsidRPr="00F16C01" w:rsidRDefault="00F16C01" w:rsidP="00F16C01">
      <w:pPr>
        <w:spacing w:after="0" w:line="240" w:lineRule="auto"/>
        <w:ind w:right="-120"/>
      </w:pPr>
      <w:r w:rsidRPr="00F16C01">
        <w:rPr>
          <w:bCs/>
        </w:rPr>
        <w:t xml:space="preserve">IMET allows for the integration of site level assessments with contextual information as a basis for decision-making </w:t>
      </w:r>
      <w:proofErr w:type="gramStart"/>
      <w:r w:rsidRPr="00F16C01">
        <w:rPr>
          <w:bCs/>
        </w:rPr>
        <w:t>both in systems and sites</w:t>
      </w:r>
      <w:proofErr w:type="gramEnd"/>
      <w:r w:rsidRPr="00F16C01">
        <w:rPr>
          <w:bCs/>
        </w:rPr>
        <w:t xml:space="preserve">. It has great potential to be further developed and refined and to complement PAME and PAGE where these are applied, and be a foundation for Green Listing. It </w:t>
      </w:r>
      <w:proofErr w:type="gramStart"/>
      <w:r w:rsidRPr="00F16C01">
        <w:rPr>
          <w:bCs/>
        </w:rPr>
        <w:t>is therefore recommended</w:t>
      </w:r>
      <w:proofErr w:type="gramEnd"/>
      <w:r w:rsidRPr="00F16C01">
        <w:rPr>
          <w:bCs/>
        </w:rPr>
        <w:t xml:space="preserve"> that:</w:t>
      </w:r>
    </w:p>
    <w:p w:rsidR="00F16C01" w:rsidRPr="00F16C01" w:rsidRDefault="00F16C01" w:rsidP="00F16C01">
      <w:pPr>
        <w:spacing w:after="0" w:line="240" w:lineRule="auto"/>
        <w:ind w:right="-120"/>
      </w:pPr>
      <w:r w:rsidRPr="00F16C01">
        <w:t> </w:t>
      </w:r>
    </w:p>
    <w:p w:rsidR="00000000" w:rsidRPr="00F16C01" w:rsidRDefault="00760C48" w:rsidP="00F16C01">
      <w:pPr>
        <w:numPr>
          <w:ilvl w:val="0"/>
          <w:numId w:val="7"/>
        </w:numPr>
        <w:spacing w:after="0" w:line="240" w:lineRule="auto"/>
        <w:ind w:right="-120"/>
      </w:pPr>
      <w:r w:rsidRPr="00F16C01">
        <w:t>IMET and the information contained in Digital Observatories should be integrated closely, and the accessibility of IMET data made available appropriately/reported</w:t>
      </w:r>
    </w:p>
    <w:p w:rsidR="00000000" w:rsidRPr="00F16C01" w:rsidRDefault="00760C48" w:rsidP="00F16C01">
      <w:pPr>
        <w:numPr>
          <w:ilvl w:val="0"/>
          <w:numId w:val="7"/>
        </w:numPr>
        <w:spacing w:after="0" w:line="240" w:lineRule="auto"/>
        <w:ind w:right="-120"/>
      </w:pPr>
      <w:r w:rsidRPr="00F16C01">
        <w:t>The application of IMET can be markedly expanded, across different kinds of PAs and made more accessible through training and other capacity development.</w:t>
      </w:r>
    </w:p>
    <w:p w:rsidR="00000000" w:rsidRPr="00F16C01" w:rsidRDefault="00760C48" w:rsidP="00F16C01">
      <w:pPr>
        <w:numPr>
          <w:ilvl w:val="0"/>
          <w:numId w:val="7"/>
        </w:numPr>
        <w:spacing w:after="0" w:line="240" w:lineRule="auto"/>
        <w:ind w:right="-120"/>
      </w:pPr>
      <w:r w:rsidRPr="00F16C01">
        <w:t>IMET can be closely integrated as a foundation for information gathering and analysis feeding into the Green Listing Process</w:t>
      </w:r>
    </w:p>
    <w:p w:rsidR="00000000" w:rsidRPr="00F16C01" w:rsidRDefault="00760C48" w:rsidP="00F16C01">
      <w:pPr>
        <w:numPr>
          <w:ilvl w:val="0"/>
          <w:numId w:val="7"/>
        </w:numPr>
        <w:spacing w:after="0" w:line="240" w:lineRule="auto"/>
        <w:ind w:right="-120"/>
      </w:pPr>
      <w:r w:rsidRPr="00F16C01">
        <w:t>IMET can support planning, monitoring an</w:t>
      </w:r>
      <w:r w:rsidRPr="00F16C01">
        <w:t>d evaluation and facilitate capacity development processes, including beyond ACP countries.</w:t>
      </w:r>
      <w:r w:rsidR="002D420A">
        <w:t xml:space="preserve"> Communicate!</w:t>
      </w:r>
    </w:p>
    <w:p w:rsidR="005666C3" w:rsidRDefault="005666C3" w:rsidP="005666C3">
      <w:pPr>
        <w:spacing w:after="0" w:line="240" w:lineRule="auto"/>
        <w:ind w:right="-120"/>
      </w:pPr>
    </w:p>
    <w:p w:rsidR="005666C3" w:rsidRDefault="005666C3" w:rsidP="005666C3">
      <w:pPr>
        <w:spacing w:after="0" w:line="240" w:lineRule="auto"/>
        <w:ind w:right="-120"/>
      </w:pPr>
    </w:p>
    <w:p w:rsidR="005666C3" w:rsidRPr="003125B4" w:rsidRDefault="005666C3" w:rsidP="003125B4">
      <w:pPr>
        <w:pStyle w:val="ListParagraph"/>
        <w:numPr>
          <w:ilvl w:val="0"/>
          <w:numId w:val="5"/>
        </w:numPr>
        <w:spacing w:after="0" w:line="240" w:lineRule="auto"/>
        <w:ind w:right="-120" w:hanging="720"/>
        <w:rPr>
          <w:b/>
        </w:rPr>
      </w:pPr>
      <w:r w:rsidRPr="003125B4">
        <w:rPr>
          <w:b/>
        </w:rPr>
        <w:t>The IUCN Green List of Protected and Conserved Areas</w:t>
      </w:r>
    </w:p>
    <w:p w:rsidR="005666C3" w:rsidRDefault="005666C3" w:rsidP="005666C3">
      <w:pPr>
        <w:spacing w:after="0" w:line="240" w:lineRule="auto"/>
        <w:ind w:right="-120"/>
      </w:pPr>
    </w:p>
    <w:p w:rsidR="00F16C01" w:rsidRPr="00F16C01" w:rsidRDefault="00F16C01" w:rsidP="00F16C01">
      <w:pPr>
        <w:spacing w:after="0" w:line="240" w:lineRule="auto"/>
        <w:ind w:right="-120"/>
        <w:rPr>
          <w:bCs/>
        </w:rPr>
      </w:pPr>
      <w:r w:rsidRPr="00F16C01">
        <w:rPr>
          <w:bCs/>
        </w:rPr>
        <w:t>The Green List is a sustainability standard allowing for the strengthening and recognition of sites that achieve their conservation and social outcomes, but also as a process for diagnosing strengths and weaknesses and addressing these through appropriate investment.</w:t>
      </w:r>
    </w:p>
    <w:p w:rsidR="00F16C01" w:rsidRPr="00F16C01" w:rsidRDefault="00F16C01" w:rsidP="00F16C01">
      <w:pPr>
        <w:spacing w:after="0" w:line="240" w:lineRule="auto"/>
        <w:ind w:left="284" w:right="-120"/>
        <w:rPr>
          <w:b/>
        </w:rPr>
      </w:pPr>
    </w:p>
    <w:p w:rsidR="00000000" w:rsidRPr="00F16C01" w:rsidRDefault="00760C48" w:rsidP="00F16C01">
      <w:pPr>
        <w:numPr>
          <w:ilvl w:val="0"/>
          <w:numId w:val="8"/>
        </w:numPr>
        <w:spacing w:after="0" w:line="240" w:lineRule="auto"/>
        <w:ind w:right="-120"/>
      </w:pPr>
      <w:r w:rsidRPr="00F16C01">
        <w:t>The Green List proces</w:t>
      </w:r>
      <w:r w:rsidRPr="00F16C01">
        <w:t xml:space="preserve">s builds on other diagnostic tools, such as PAME, PAGE and IMET and does not replace these; it is possible to translate findings from these tools into the GL process, and translate </w:t>
      </w:r>
      <w:proofErr w:type="spellStart"/>
      <w:r w:rsidRPr="00F16C01">
        <w:t>info</w:t>
      </w:r>
      <w:proofErr w:type="spellEnd"/>
      <w:r w:rsidRPr="00F16C01">
        <w:t xml:space="preserve"> back.</w:t>
      </w:r>
    </w:p>
    <w:p w:rsidR="00000000" w:rsidRPr="00F16C01" w:rsidRDefault="00760C48" w:rsidP="00F16C01">
      <w:pPr>
        <w:numPr>
          <w:ilvl w:val="0"/>
          <w:numId w:val="8"/>
        </w:numPr>
        <w:spacing w:after="0" w:line="240" w:lineRule="auto"/>
        <w:ind w:right="-120"/>
      </w:pPr>
      <w:r w:rsidRPr="00F16C01">
        <w:t xml:space="preserve">The GL can be institutionalized and embedded into the regional institutions and observatories across BIOPAMA, increasing efficiencies, as well as with other programmes such as World Heritage, Biosphere Reserves, </w:t>
      </w:r>
      <w:proofErr w:type="gramStart"/>
      <w:r w:rsidRPr="00F16C01">
        <w:t>State</w:t>
      </w:r>
      <w:proofErr w:type="gramEnd"/>
      <w:r w:rsidRPr="00F16C01">
        <w:t xml:space="preserve"> of Parks.</w:t>
      </w:r>
    </w:p>
    <w:p w:rsidR="00000000" w:rsidRPr="00F16C01" w:rsidRDefault="00760C48" w:rsidP="00F16C01">
      <w:pPr>
        <w:numPr>
          <w:ilvl w:val="0"/>
          <w:numId w:val="8"/>
        </w:numPr>
        <w:spacing w:after="0" w:line="240" w:lineRule="auto"/>
        <w:ind w:right="-120"/>
      </w:pPr>
      <w:r w:rsidRPr="00F16C01">
        <w:t xml:space="preserve">A balance has to </w:t>
      </w:r>
      <w:proofErr w:type="gramStart"/>
      <w:r w:rsidRPr="00F16C01">
        <w:t>be achieved</w:t>
      </w:r>
      <w:proofErr w:type="gramEnd"/>
      <w:r w:rsidRPr="00F16C01">
        <w:t xml:space="preserve"> between the costs of implementing processes and the benefits of being engaged, and a business plan should reflect this/support this.</w:t>
      </w:r>
    </w:p>
    <w:p w:rsidR="00000000" w:rsidRPr="00F16C01" w:rsidRDefault="00760C48" w:rsidP="00F16C01">
      <w:pPr>
        <w:numPr>
          <w:ilvl w:val="0"/>
          <w:numId w:val="8"/>
        </w:numPr>
        <w:spacing w:after="0" w:line="240" w:lineRule="auto"/>
        <w:ind w:right="-120"/>
      </w:pPr>
      <w:r w:rsidRPr="00F16C01">
        <w:t>GL resources, communications and processes should be accessible in more languages, and GL mentors and IMET coaches could be cross-trained.</w:t>
      </w:r>
    </w:p>
    <w:p w:rsidR="00F11611" w:rsidRPr="00F11611" w:rsidRDefault="00F11611" w:rsidP="00F11611">
      <w:pPr>
        <w:spacing w:after="0" w:line="240" w:lineRule="auto"/>
        <w:ind w:left="284" w:right="-12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The road from </w:t>
      </w:r>
      <w:r w:rsidRPr="00F11611">
        <w:rPr>
          <w:b/>
        </w:rPr>
        <w:t>Gran Paradiso</w:t>
      </w:r>
    </w:p>
    <w:p w:rsidR="00F11611" w:rsidRDefault="00F11611" w:rsidP="00531216">
      <w:pPr>
        <w:pStyle w:val="ListParagraph"/>
        <w:spacing w:after="0" w:line="240" w:lineRule="auto"/>
        <w:ind w:right="-120"/>
      </w:pPr>
    </w:p>
    <w:p w:rsidR="00531216" w:rsidRDefault="00531216" w:rsidP="00F11611">
      <w:pPr>
        <w:pStyle w:val="ListParagraph"/>
        <w:spacing w:after="0" w:line="240" w:lineRule="auto"/>
        <w:ind w:left="284" w:right="-120"/>
      </w:pPr>
      <w:r>
        <w:t xml:space="preserve">As the participants took stock of the insights and understanding achieved collectively in Gran Paradiso, they embraced and committed </w:t>
      </w:r>
      <w:proofErr w:type="gramStart"/>
      <w:r>
        <w:t>to</w:t>
      </w:r>
      <w:proofErr w:type="gramEnd"/>
      <w:r>
        <w:t>:</w:t>
      </w:r>
    </w:p>
    <w:p w:rsidR="00531216" w:rsidRDefault="00531216" w:rsidP="00531216">
      <w:pPr>
        <w:pStyle w:val="ListParagraph"/>
        <w:spacing w:after="0" w:line="240" w:lineRule="auto"/>
        <w:ind w:right="-120"/>
      </w:pPr>
    </w:p>
    <w:p w:rsidR="00531216" w:rsidRDefault="00531216" w:rsidP="0053121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>Building bridges between the different tools and methods</w:t>
      </w:r>
      <w:r w:rsidR="00247331">
        <w:t>, finding and exploiting synergies to achieve greater understanding and impact at scale.</w:t>
      </w:r>
    </w:p>
    <w:p w:rsidR="00247331" w:rsidRDefault="00247331" w:rsidP="0053121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>Using the Action Component to align with and support the broader Vision of BIOPAMA.</w:t>
      </w:r>
    </w:p>
    <w:p w:rsidR="00247331" w:rsidRDefault="00247331" w:rsidP="0053121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>Documenting lessons learned and communicating these through PANORAMA</w:t>
      </w:r>
    </w:p>
    <w:p w:rsidR="00247331" w:rsidRDefault="00247331" w:rsidP="0053121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>Using PAME and PAGE, IMET and enhanced monitoring as stepping stones towards successful protected and conserved areas as exemplified by the IUCN Green List</w:t>
      </w:r>
    </w:p>
    <w:p w:rsidR="00A06D83" w:rsidRDefault="00A06D83" w:rsidP="0053121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>Expanding reference to the Green List Standard and commitments towards listing.</w:t>
      </w:r>
    </w:p>
    <w:p w:rsidR="00247331" w:rsidRDefault="00247331" w:rsidP="0053121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>Working together across regions and partner institutions including within the BIOPAMA partnership to build on strengths and strive for sustainability into the future.</w:t>
      </w:r>
    </w:p>
    <w:p w:rsidR="00247331" w:rsidRDefault="00247331" w:rsidP="00531216">
      <w:pPr>
        <w:pStyle w:val="ListParagraph"/>
        <w:numPr>
          <w:ilvl w:val="0"/>
          <w:numId w:val="2"/>
        </w:numPr>
        <w:spacing w:after="0" w:line="240" w:lineRule="auto"/>
        <w:ind w:right="-120"/>
      </w:pPr>
      <w:r>
        <w:t xml:space="preserve">Use the powerful platforms in regional congresses, the IUCN World Conservation Congress and the CBD COP15 in Kunming, China, to put BIOPAMA “on the map” as a powerful </w:t>
      </w:r>
      <w:proofErr w:type="gramStart"/>
      <w:r>
        <w:t>integrator</w:t>
      </w:r>
      <w:proofErr w:type="gramEnd"/>
      <w:r>
        <w:t xml:space="preserve"> that supports successful conservation as a foundation for sustainable development.</w:t>
      </w:r>
    </w:p>
    <w:p w:rsidR="00531216" w:rsidRDefault="00531216" w:rsidP="00531216">
      <w:pPr>
        <w:pStyle w:val="ListParagraph"/>
        <w:spacing w:after="0" w:line="240" w:lineRule="auto"/>
        <w:ind w:right="-120"/>
      </w:pPr>
    </w:p>
    <w:p w:rsidR="00531216" w:rsidRPr="00A21578" w:rsidRDefault="00531216" w:rsidP="00531216">
      <w:pPr>
        <w:pStyle w:val="ListParagraph"/>
        <w:spacing w:after="0" w:line="240" w:lineRule="auto"/>
        <w:ind w:right="-120"/>
      </w:pPr>
    </w:p>
    <w:sectPr w:rsidR="00531216" w:rsidRPr="00A21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86C"/>
    <w:multiLevelType w:val="hybridMultilevel"/>
    <w:tmpl w:val="3F249B46"/>
    <w:lvl w:ilvl="0" w:tplc="453E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08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0A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C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A6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A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C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3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A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C4FCC"/>
    <w:multiLevelType w:val="hybridMultilevel"/>
    <w:tmpl w:val="A072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8CF"/>
    <w:multiLevelType w:val="hybridMultilevel"/>
    <w:tmpl w:val="ABC4F0F6"/>
    <w:lvl w:ilvl="0" w:tplc="99549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9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ED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6E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AC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22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AA2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3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A7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6B1B0E"/>
    <w:multiLevelType w:val="hybridMultilevel"/>
    <w:tmpl w:val="1B84D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7AA1"/>
    <w:multiLevelType w:val="hybridMultilevel"/>
    <w:tmpl w:val="96E677E2"/>
    <w:lvl w:ilvl="0" w:tplc="AD16C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43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E4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02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0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6C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28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4D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EC9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641340"/>
    <w:multiLevelType w:val="hybridMultilevel"/>
    <w:tmpl w:val="3F2AB42C"/>
    <w:lvl w:ilvl="0" w:tplc="6ED68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8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4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8F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E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C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2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E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A9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533CDF"/>
    <w:multiLevelType w:val="hybridMultilevel"/>
    <w:tmpl w:val="0B7282DC"/>
    <w:lvl w:ilvl="0" w:tplc="70FAA6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4631"/>
    <w:multiLevelType w:val="hybridMultilevel"/>
    <w:tmpl w:val="102A854E"/>
    <w:lvl w:ilvl="0" w:tplc="72C21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A9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E8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A9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4A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C0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29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2A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C6A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F"/>
    <w:rsid w:val="000D7068"/>
    <w:rsid w:val="00122D36"/>
    <w:rsid w:val="00247331"/>
    <w:rsid w:val="002D420A"/>
    <w:rsid w:val="002D6973"/>
    <w:rsid w:val="003125B4"/>
    <w:rsid w:val="003D6FDA"/>
    <w:rsid w:val="00531216"/>
    <w:rsid w:val="005666C3"/>
    <w:rsid w:val="00636161"/>
    <w:rsid w:val="006665EF"/>
    <w:rsid w:val="00760C48"/>
    <w:rsid w:val="007A1A86"/>
    <w:rsid w:val="007B08E9"/>
    <w:rsid w:val="007B75C1"/>
    <w:rsid w:val="009B7596"/>
    <w:rsid w:val="009D1035"/>
    <w:rsid w:val="009E5217"/>
    <w:rsid w:val="00A06D83"/>
    <w:rsid w:val="00A21578"/>
    <w:rsid w:val="00AB4A4C"/>
    <w:rsid w:val="00AC1ABD"/>
    <w:rsid w:val="00C06C49"/>
    <w:rsid w:val="00C61AA1"/>
    <w:rsid w:val="00D34946"/>
    <w:rsid w:val="00F11611"/>
    <w:rsid w:val="00F16C01"/>
    <w:rsid w:val="00F30321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592E"/>
  <w15:chartTrackingRefBased/>
  <w15:docId w15:val="{1578914F-823D-454D-95A3-C45237C2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SANDWITH Trevor</dc:creator>
  <cp:keywords/>
  <dc:description/>
  <cp:lastModifiedBy>SANDWITH Trevor</cp:lastModifiedBy>
  <cp:revision>13</cp:revision>
  <dcterms:created xsi:type="dcterms:W3CDTF">2019-06-28T03:57:00Z</dcterms:created>
  <dcterms:modified xsi:type="dcterms:W3CDTF">2019-06-28T08:38:00Z</dcterms:modified>
</cp:coreProperties>
</file>